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образовательное учреждение "Основная общеобразовательная школа п. Синда"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МБОУ ООШ п.Синда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Заместитель директора по УВР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Кишкарь И.А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МБОУ ООШ п.Синда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Фирсова Т.Е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Нанайский муниципальный район,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"Основная общеобразовательная школа п. Синда"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образовательное учреждение "Основная общеобразовательная школа п. Синда"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образовательное учреждение "Основная общеобразовательная школа п. Синда"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образовательное учреждение "Основная общеобразовательная школа п. Синда"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образовательное учреждение "Основная общеобразовательная школа п. Синда"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207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Родная 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обж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36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1224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образовательное учреждение "Основная общеобразовательная школа п. Синда"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Клуб ШСК"Волейбол"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 xml:space="preserve">"Одаренный ребенок" 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"Пользователь ПК"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"Экспериментальная физика"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"Учимся работать с текстом"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"Математическая грамотность"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"Разговоры о важном"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"Самбо"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"Финансовая грамотность"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"Краеведение"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"Культура народов Нани"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"Юный биолог"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"Забота" Волонтерский отряд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"Сдам ГТО"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"Билет в будущее" основы профориентации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9.5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9.5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9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